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民间借贷纠纷要素式模板（示例）</w:t>
      </w:r>
    </w:p>
    <w:p>
      <w:r>
        <w:t>本文件为工具箱示例占位文档，请替换为正式模板。</w:t>
      </w:r>
    </w:p>
    <w:p>
      <w:r>
        <w:t>建议结构：当事人 / 借贷事实 / 交付与还款 / 证据清单 / 诉求。</w:t>
      </w:r>
    </w:p>
    <w:sectPr>
      <w:pgSz w:w="11906" w:h="16838"/>
      <w:pgMar w:top="1440" w:bottom="1440" w:left="1440" w:right="1440"/>
    </w:sectPr>
  </w:body>
</w:document>
</file>